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E2661" w14:textId="77777777" w:rsidR="00D3286B" w:rsidRDefault="00D3286B"/>
    <w:tbl>
      <w:tblPr>
        <w:tblStyle w:val="TableGrid"/>
        <w:tblW w:w="0" w:type="auto"/>
        <w:tblBorders>
          <w:top w:val="thinThickSmallGap" w:sz="12" w:space="0" w:color="0070C0"/>
          <w:left w:val="thinThickSmallGap" w:sz="12" w:space="0" w:color="0070C0"/>
          <w:bottom w:val="thickThinSmallGap" w:sz="12" w:space="0" w:color="0070C0"/>
          <w:right w:val="thickThinSmallGap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D3286B" w14:paraId="60654A1D" w14:textId="77777777" w:rsidTr="005718F8">
        <w:tc>
          <w:tcPr>
            <w:tcW w:w="9010" w:type="dxa"/>
          </w:tcPr>
          <w:p w14:paraId="69833113" w14:textId="77777777" w:rsidR="00D3286B" w:rsidRDefault="00D3286B" w:rsidP="00D3286B"/>
          <w:p w14:paraId="68FE9DEF" w14:textId="70D043C9" w:rsidR="00D3286B" w:rsidRDefault="00D3286B" w:rsidP="00D3286B">
            <w:pPr>
              <w:spacing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268AA"/>
                <w:kern w:val="36"/>
                <w:sz w:val="36"/>
                <w:szCs w:val="36"/>
                <w:lang w:val="en-US"/>
              </w:rPr>
              <w:drawing>
                <wp:inline distT="0" distB="0" distL="0" distR="0" wp14:anchorId="587A8FA7" wp14:editId="70E5EC88">
                  <wp:extent cx="1660600" cy="11196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ZASIA-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276" cy="11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6706"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  <w:t xml:space="preserve">    </w:t>
            </w:r>
            <w:r w:rsidR="00596706">
              <w:rPr>
                <w:rFonts w:ascii="Arial" w:eastAsia="Times New Roman" w:hAnsi="Arial" w:cs="Arial"/>
                <w:b/>
                <w:bCs/>
                <w:noProof/>
                <w:color w:val="0268AA"/>
                <w:kern w:val="36"/>
                <w:sz w:val="36"/>
                <w:szCs w:val="36"/>
                <w:lang w:val="en-US"/>
              </w:rPr>
              <w:drawing>
                <wp:inline distT="0" distB="0" distL="0" distR="0" wp14:anchorId="2073216C" wp14:editId="1B88D563">
                  <wp:extent cx="2823534" cy="1134110"/>
                  <wp:effectExtent l="0" t="0" r="0" b="8890"/>
                  <wp:docPr id="3" name="Picture 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, applicati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924" cy="114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DD995" w14:textId="77777777" w:rsidR="00D3286B" w:rsidRDefault="00D3286B" w:rsidP="00D3286B">
            <w:pPr>
              <w:spacing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</w:pPr>
          </w:p>
          <w:p w14:paraId="4790D0FE" w14:textId="6D11A261" w:rsidR="00D3286B" w:rsidRPr="0052248B" w:rsidRDefault="00D3286B" w:rsidP="00D3286B">
            <w:pPr>
              <w:spacing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  <w:t>NZASIA Pre-</w:t>
            </w:r>
            <w:r w:rsidR="00596706"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  <w:t xml:space="preserve">onference Asian Studies </w:t>
            </w:r>
            <w:r w:rsidRPr="0052248B"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36"/>
                <w:szCs w:val="36"/>
                <w:lang w:val="en-US"/>
              </w:rPr>
              <w:t>Postgraduate Workshop</w:t>
            </w:r>
          </w:p>
          <w:p w14:paraId="19AE6C07" w14:textId="6CEF9303" w:rsidR="00D3286B" w:rsidRDefault="00D3286B" w:rsidP="00D3286B">
            <w:pPr>
              <w:pBdr>
                <w:bottom w:val="single" w:sz="6" w:space="0" w:color="CCCCCC"/>
              </w:pBdr>
              <w:ind w:right="89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A39C8D"/>
                <w:lang w:val="en-US"/>
              </w:rPr>
            </w:pPr>
            <w:r w:rsidRPr="0052248B">
              <w:rPr>
                <w:rFonts w:ascii="Arial" w:eastAsia="Times New Roman" w:hAnsi="Arial" w:cs="Arial"/>
                <w:b/>
                <w:bCs/>
                <w:color w:val="A39C8D"/>
                <w:lang w:val="en-US"/>
              </w:rPr>
              <w:br/>
            </w:r>
            <w:r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at </w:t>
            </w:r>
            <w:r w:rsidR="00596706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Massey University, Palmerston North</w:t>
            </w:r>
            <w:r w:rsidR="00393D2C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 </w:t>
            </w:r>
            <w:r w:rsidR="00393D2C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br/>
            </w:r>
            <w:r w:rsidR="00596706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Wednesday </w:t>
            </w:r>
            <w:r w:rsidR="00393D2C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24th November</w:t>
            </w:r>
            <w:r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20</w:t>
            </w:r>
            <w:r w:rsidR="00596706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</w:t>
            </w:r>
            <w:r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393D2C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, 1</w:t>
            </w:r>
            <w:r w:rsidR="00596706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2pm</w:t>
            </w:r>
            <w:r w:rsidR="00393D2C" w:rsidRP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to 4pm</w:t>
            </w:r>
          </w:p>
          <w:p w14:paraId="53731485" w14:textId="77777777" w:rsidR="003C4816" w:rsidRDefault="003C4816" w:rsidP="005718F8">
            <w:pPr>
              <w:snapToGrid w:val="0"/>
              <w:outlineLvl w:val="2"/>
              <w:rPr>
                <w:rFonts w:ascii="Arial" w:eastAsia="Times New Roman" w:hAnsi="Arial" w:cs="Arial"/>
                <w:b/>
                <w:bCs/>
                <w:color w:val="A39C8D"/>
                <w:lang w:val="en-US"/>
              </w:rPr>
            </w:pPr>
          </w:p>
          <w:p w14:paraId="00E71334" w14:textId="3448344E" w:rsidR="00D3286B" w:rsidRDefault="00D3286B" w:rsidP="005718F8">
            <w:pPr>
              <w:snapToGrid w:val="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5224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>In conjunction with the 2</w:t>
            </w:r>
            <w:r w:rsidR="005967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>4th</w:t>
            </w:r>
            <w:r w:rsidRPr="005224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 xml:space="preserve"> NZASIA Conference, </w:t>
            </w:r>
            <w:r w:rsidR="005967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>the Asia New Zealand Foundation</w:t>
            </w:r>
            <w:r w:rsidRPr="005224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 xml:space="preserve"> will offer postgraduate students </w:t>
            </w:r>
            <w:r w:rsidR="007372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 xml:space="preserve">who are working on Asia-related topics </w:t>
            </w:r>
            <w:r w:rsidRPr="005224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  <w:t>the opportunity to participate in a pre-conference postgraduate workshop.</w:t>
            </w:r>
          </w:p>
          <w:p w14:paraId="31BC4BC3" w14:textId="77777777" w:rsidR="00596706" w:rsidRPr="0052248B" w:rsidRDefault="00596706" w:rsidP="005718F8">
            <w:pPr>
              <w:snapToGrid w:val="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/>
              </w:rPr>
            </w:pPr>
          </w:p>
          <w:p w14:paraId="3BD8600C" w14:textId="3CBA64CD" w:rsidR="00D3286B" w:rsidRPr="005718F8" w:rsidRDefault="00D3286B" w:rsidP="005718F8">
            <w:pPr>
              <w:spacing w:before="120" w:after="120"/>
              <w:ind w:left="425" w:right="374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r w:rsidRPr="0052248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This workshop will provide a forum for students from different universities to meet each other and </w:t>
            </w:r>
            <w:r w:rsidR="0059670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share their interests</w:t>
            </w:r>
            <w:r w:rsidRPr="0052248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on Asia-related subjects. The workshop will also be an opportunity for postgraduates to explore career pathways both in academia and</w:t>
            </w:r>
            <w:r w:rsidR="0059670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the</w:t>
            </w:r>
            <w:r w:rsidR="005106BE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public/trade/foreign policy sector</w:t>
            </w:r>
            <w:r w:rsidRPr="0052248B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. The workshop is free and open only to postgraduate students who have registered and paid for the main conference.</w:t>
            </w:r>
            <w:r w:rsidRPr="005718F8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 </w:t>
            </w:r>
          </w:p>
          <w:p w14:paraId="3066B9D6" w14:textId="7722B81E" w:rsidR="00596706" w:rsidRPr="00596706" w:rsidRDefault="00393D2C" w:rsidP="00596706">
            <w:pPr>
              <w:spacing w:line="27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39C8D"/>
                <w:lang w:val="en-US"/>
              </w:rPr>
            </w:pPr>
            <w:r w:rsidRPr="00393D2C"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28"/>
                <w:szCs w:val="36"/>
                <w:lang w:val="en-US"/>
              </w:rPr>
              <w:t>Provisional Schedule</w:t>
            </w:r>
            <w:r w:rsidR="00D3286B" w:rsidRPr="00393D2C">
              <w:rPr>
                <w:rFonts w:ascii="Arial" w:eastAsia="Times New Roman" w:hAnsi="Arial" w:cs="Arial"/>
                <w:b/>
                <w:bCs/>
                <w:color w:val="0268AA"/>
                <w:kern w:val="36"/>
                <w:sz w:val="28"/>
                <w:szCs w:val="36"/>
                <w:lang w:val="en-US"/>
              </w:rPr>
              <w:t>:</w:t>
            </w:r>
          </w:p>
          <w:p w14:paraId="50E0224F" w14:textId="77777777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12.00pm: Welcome/Networking Lunch </w:t>
            </w:r>
          </w:p>
          <w:p w14:paraId="21A31F89" w14:textId="168E8471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12.45pm: Postgraduate Workshop – tips and advice for postgrad</w:t>
            </w:r>
            <w:r w:rsid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uate</w:t>
            </w: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life</w:t>
            </w:r>
            <w:r w:rsid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;</w:t>
            </w: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highlighting Asia-related careers/academic pathways</w:t>
            </w:r>
            <w:r w:rsid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; making the most of your thesis for</w:t>
            </w: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publication</w:t>
            </w:r>
            <w:r w:rsidR="005106BE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and profile</w:t>
            </w:r>
          </w:p>
          <w:p w14:paraId="5F5F2BD9" w14:textId="77777777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2.00pm: Coffee break</w:t>
            </w:r>
          </w:p>
          <w:p w14:paraId="70DC77D8" w14:textId="311615A6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2.15pm: NextGen Workshop - getting the most out of Track II diplomacy/Conference participation</w:t>
            </w:r>
          </w:p>
          <w:p w14:paraId="5C401EA2" w14:textId="7241C727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2.30pm: Track II Vocabulary and Terms – the Asia-related issues you need to know about~</w:t>
            </w:r>
          </w:p>
          <w:p w14:paraId="41BEE95E" w14:textId="23EB2FA8" w:rsidR="00596706" w:rsidRPr="00596706" w:rsidRDefault="00596706" w:rsidP="00596706">
            <w:pPr>
              <w:pBdr>
                <w:bottom w:val="single" w:sz="4" w:space="0" w:color="7B7B7B" w:themeColor="accent3" w:themeShade="BF"/>
              </w:pBdr>
              <w:spacing w:before="240" w:after="30"/>
              <w:ind w:left="171" w:right="1934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596706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3.00pm: NextGen Track II Roundtable – Experiencing Track II diplomacy with a deep dive conversation on topical issues across Asia</w:t>
            </w:r>
          </w:p>
          <w:p w14:paraId="44AAAED5" w14:textId="1EB161E6" w:rsidR="005718F8" w:rsidRPr="005718F8" w:rsidRDefault="005718F8" w:rsidP="00596706">
            <w:pPr>
              <w:ind w:right="261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</w:p>
          <w:p w14:paraId="63020ACD" w14:textId="3493EB4A" w:rsidR="00D3286B" w:rsidRPr="005718F8" w:rsidRDefault="005106BE" w:rsidP="00524D20">
            <w:pPr>
              <w:snapToGrid w:val="0"/>
              <w:spacing w:after="200"/>
              <w:ind w:left="143" w:right="261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Please r</w:t>
            </w:r>
            <w:r w:rsidR="005718F8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egister for the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Postgraduate W</w:t>
            </w:r>
            <w:r w:rsidR="005718F8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orkshop</w:t>
            </w:r>
            <w:r w:rsidR="00D3286B" w:rsidRPr="005718F8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 </w:t>
            </w:r>
            <w:r w:rsidR="00596706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>when you sign up and pay for attendance at the NZASIA Conference.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For any enquiries, please contact Dr James To, Senior Adviser (Research and Engagement) </w:t>
            </w:r>
            <w:hyperlink r:id="rId6" w:history="1">
              <w:r w:rsidRPr="001F0FD6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jto@asianz.org.nz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28D92D1A" w14:textId="77777777" w:rsidR="008C46A3" w:rsidRDefault="00CB6E80" w:rsidP="005106BE"/>
    <w:sectPr w:rsidR="008C46A3" w:rsidSect="000A13DC">
      <w:pgSz w:w="11900" w:h="16840"/>
      <w:pgMar w:top="1247" w:right="1440" w:bottom="1247" w:left="1440" w:header="709" w:footer="709" w:gutter="0"/>
      <w:pgBorders>
        <w:bottom w:val="single" w:sz="4" w:space="1" w:color="auto"/>
      </w:pgBorders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ipei">
    <w:altName w:val="Arial Unicode MS"/>
    <w:panose1 w:val="020B0604020202020204"/>
    <w:charset w:val="51"/>
    <w:family w:val="auto"/>
    <w:pitch w:val="variable"/>
    <w:sig w:usb0="01000000" w:usb1="00000808" w:usb2="1000000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6B"/>
    <w:rsid w:val="00001E31"/>
    <w:rsid w:val="000212C7"/>
    <w:rsid w:val="00036164"/>
    <w:rsid w:val="00041185"/>
    <w:rsid w:val="000505DD"/>
    <w:rsid w:val="000763A6"/>
    <w:rsid w:val="00094902"/>
    <w:rsid w:val="00095250"/>
    <w:rsid w:val="000A13DC"/>
    <w:rsid w:val="000A1D29"/>
    <w:rsid w:val="000C3EAA"/>
    <w:rsid w:val="000F1572"/>
    <w:rsid w:val="001018FF"/>
    <w:rsid w:val="0013254F"/>
    <w:rsid w:val="0014024C"/>
    <w:rsid w:val="0016661E"/>
    <w:rsid w:val="001959B9"/>
    <w:rsid w:val="001A7B58"/>
    <w:rsid w:val="001B46B8"/>
    <w:rsid w:val="001F326E"/>
    <w:rsid w:val="001F37BC"/>
    <w:rsid w:val="00213B2A"/>
    <w:rsid w:val="00221ACE"/>
    <w:rsid w:val="00223854"/>
    <w:rsid w:val="00226180"/>
    <w:rsid w:val="00254DB6"/>
    <w:rsid w:val="00283E53"/>
    <w:rsid w:val="00283FDE"/>
    <w:rsid w:val="002C7A88"/>
    <w:rsid w:val="002E0A1C"/>
    <w:rsid w:val="0034790A"/>
    <w:rsid w:val="00365488"/>
    <w:rsid w:val="00383669"/>
    <w:rsid w:val="003853E1"/>
    <w:rsid w:val="00392EEF"/>
    <w:rsid w:val="00393D2C"/>
    <w:rsid w:val="00394409"/>
    <w:rsid w:val="003A20B8"/>
    <w:rsid w:val="003A7DBA"/>
    <w:rsid w:val="003B4A32"/>
    <w:rsid w:val="003B553F"/>
    <w:rsid w:val="003C4816"/>
    <w:rsid w:val="00434B50"/>
    <w:rsid w:val="0044353A"/>
    <w:rsid w:val="00444CBD"/>
    <w:rsid w:val="00465EE7"/>
    <w:rsid w:val="00494F5B"/>
    <w:rsid w:val="00496728"/>
    <w:rsid w:val="004E7CD2"/>
    <w:rsid w:val="005011E8"/>
    <w:rsid w:val="005106BE"/>
    <w:rsid w:val="00524D20"/>
    <w:rsid w:val="00526AE9"/>
    <w:rsid w:val="005718F8"/>
    <w:rsid w:val="005855E5"/>
    <w:rsid w:val="00596706"/>
    <w:rsid w:val="005A4098"/>
    <w:rsid w:val="005B468B"/>
    <w:rsid w:val="005D18EF"/>
    <w:rsid w:val="005D4120"/>
    <w:rsid w:val="00610844"/>
    <w:rsid w:val="006145A0"/>
    <w:rsid w:val="0066049D"/>
    <w:rsid w:val="006632A3"/>
    <w:rsid w:val="0066670C"/>
    <w:rsid w:val="00673567"/>
    <w:rsid w:val="006902C6"/>
    <w:rsid w:val="006951C5"/>
    <w:rsid w:val="00695826"/>
    <w:rsid w:val="006B60D8"/>
    <w:rsid w:val="006D1A14"/>
    <w:rsid w:val="006D6794"/>
    <w:rsid w:val="006E145C"/>
    <w:rsid w:val="006F192A"/>
    <w:rsid w:val="006F22DD"/>
    <w:rsid w:val="00720335"/>
    <w:rsid w:val="0073484A"/>
    <w:rsid w:val="007372B8"/>
    <w:rsid w:val="00742806"/>
    <w:rsid w:val="00743B4B"/>
    <w:rsid w:val="007552EA"/>
    <w:rsid w:val="00776F53"/>
    <w:rsid w:val="0078253A"/>
    <w:rsid w:val="007B00DB"/>
    <w:rsid w:val="007C2E54"/>
    <w:rsid w:val="007F6F6C"/>
    <w:rsid w:val="0080395A"/>
    <w:rsid w:val="008052A6"/>
    <w:rsid w:val="00812A6D"/>
    <w:rsid w:val="00831951"/>
    <w:rsid w:val="00837469"/>
    <w:rsid w:val="0086791C"/>
    <w:rsid w:val="00876974"/>
    <w:rsid w:val="008B27D0"/>
    <w:rsid w:val="008D3205"/>
    <w:rsid w:val="008D33DB"/>
    <w:rsid w:val="008D6C35"/>
    <w:rsid w:val="008E2D8F"/>
    <w:rsid w:val="008E68D2"/>
    <w:rsid w:val="009142A8"/>
    <w:rsid w:val="0092590D"/>
    <w:rsid w:val="0095362D"/>
    <w:rsid w:val="0095605D"/>
    <w:rsid w:val="00971472"/>
    <w:rsid w:val="009737F0"/>
    <w:rsid w:val="00992466"/>
    <w:rsid w:val="009C64BB"/>
    <w:rsid w:val="009E7DC7"/>
    <w:rsid w:val="00A2075E"/>
    <w:rsid w:val="00A31E09"/>
    <w:rsid w:val="00A474FC"/>
    <w:rsid w:val="00AB41B0"/>
    <w:rsid w:val="00AB4975"/>
    <w:rsid w:val="00AB6F7D"/>
    <w:rsid w:val="00AD2F1D"/>
    <w:rsid w:val="00AD7691"/>
    <w:rsid w:val="00AE4103"/>
    <w:rsid w:val="00B025B3"/>
    <w:rsid w:val="00B13952"/>
    <w:rsid w:val="00B1626C"/>
    <w:rsid w:val="00B33D35"/>
    <w:rsid w:val="00B5030B"/>
    <w:rsid w:val="00B63467"/>
    <w:rsid w:val="00BC39B5"/>
    <w:rsid w:val="00BC6D87"/>
    <w:rsid w:val="00BF2DA0"/>
    <w:rsid w:val="00BF6C7E"/>
    <w:rsid w:val="00C0482B"/>
    <w:rsid w:val="00C15C4D"/>
    <w:rsid w:val="00C54F24"/>
    <w:rsid w:val="00C67631"/>
    <w:rsid w:val="00C71A7C"/>
    <w:rsid w:val="00C97757"/>
    <w:rsid w:val="00CB6E80"/>
    <w:rsid w:val="00CE54CF"/>
    <w:rsid w:val="00D1225F"/>
    <w:rsid w:val="00D17210"/>
    <w:rsid w:val="00D25C14"/>
    <w:rsid w:val="00D3286B"/>
    <w:rsid w:val="00D6051F"/>
    <w:rsid w:val="00D74D65"/>
    <w:rsid w:val="00D92ACC"/>
    <w:rsid w:val="00DF4204"/>
    <w:rsid w:val="00E14F87"/>
    <w:rsid w:val="00E16ED0"/>
    <w:rsid w:val="00E2028B"/>
    <w:rsid w:val="00E20AFD"/>
    <w:rsid w:val="00E41A27"/>
    <w:rsid w:val="00E42B56"/>
    <w:rsid w:val="00E619B9"/>
    <w:rsid w:val="00E90DF0"/>
    <w:rsid w:val="00EA4700"/>
    <w:rsid w:val="00EA6FDE"/>
    <w:rsid w:val="00ED3F4E"/>
    <w:rsid w:val="00F04D69"/>
    <w:rsid w:val="00F404D1"/>
    <w:rsid w:val="00F56A17"/>
    <w:rsid w:val="00F60455"/>
    <w:rsid w:val="00F615A1"/>
    <w:rsid w:val="00F73641"/>
    <w:rsid w:val="00F819C3"/>
    <w:rsid w:val="00FA75A6"/>
    <w:rsid w:val="00FD09F8"/>
    <w:rsid w:val="00FD318E"/>
    <w:rsid w:val="00FE22BE"/>
    <w:rsid w:val="00FE7551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BF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86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">
    <w:name w:val="my"/>
    <w:basedOn w:val="Normal"/>
    <w:qFormat/>
    <w:rsid w:val="00221ACE"/>
    <w:pPr>
      <w:snapToGrid w:val="0"/>
      <w:spacing w:after="120"/>
    </w:pPr>
    <w:rPr>
      <w:rFonts w:ascii="Comic Sans MS" w:eastAsia="Taipei" w:hAnsi="Comic Sans MS" w:cs="Times New Roman"/>
      <w:szCs w:val="20"/>
      <w:lang w:val="en-GB" w:eastAsia="en-GB"/>
    </w:rPr>
  </w:style>
  <w:style w:type="table" w:styleId="TableGrid">
    <w:name w:val="Table Grid"/>
    <w:basedOn w:val="TableNormal"/>
    <w:uiPriority w:val="39"/>
    <w:rsid w:val="00D3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20"/>
    <w:rPr>
      <w:rFonts w:ascii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10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@asianz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Keating</dc:creator>
  <cp:keywords/>
  <dc:description/>
  <cp:lastModifiedBy>Dallas Nesbitt</cp:lastModifiedBy>
  <cp:revision>2</cp:revision>
  <cp:lastPrinted>2019-06-21T01:33:00Z</cp:lastPrinted>
  <dcterms:created xsi:type="dcterms:W3CDTF">2021-04-30T09:26:00Z</dcterms:created>
  <dcterms:modified xsi:type="dcterms:W3CDTF">2021-04-30T09:26:00Z</dcterms:modified>
</cp:coreProperties>
</file>